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BE" w:rsidRDefault="00965FBE" w:rsidP="00965FBE">
      <w:pPr>
        <w:pStyle w:val="Default"/>
      </w:pPr>
    </w:p>
    <w:p w:rsidR="00965FBE" w:rsidRDefault="00965FBE" w:rsidP="00965FBE">
      <w:pPr>
        <w:pStyle w:val="Default"/>
        <w:jc w:val="center"/>
        <w:rPr>
          <w:b/>
          <w:bCs/>
          <w:sz w:val="28"/>
          <w:szCs w:val="28"/>
        </w:rPr>
      </w:pPr>
      <w:r w:rsidRPr="00965FBE">
        <w:rPr>
          <w:b/>
          <w:bCs/>
          <w:sz w:val="28"/>
          <w:szCs w:val="28"/>
          <w:u w:val="single"/>
        </w:rPr>
        <w:t xml:space="preserve">MBA </w:t>
      </w:r>
      <w:r w:rsidR="00170759" w:rsidRPr="00170759">
        <w:rPr>
          <w:b/>
          <w:bCs/>
          <w:sz w:val="28"/>
          <w:szCs w:val="28"/>
          <w:u w:val="single"/>
        </w:rPr>
        <w:t>em Planejamento, Financiamento e Governança Pública</w:t>
      </w:r>
      <w:r w:rsidR="0017075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– </w:t>
      </w:r>
    </w:p>
    <w:p w:rsidR="00965FBE" w:rsidRDefault="00965FBE" w:rsidP="00965F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Corpo Docente </w:t>
      </w:r>
      <w:r w:rsidRPr="00965FB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FGV Brasília </w:t>
      </w:r>
    </w:p>
    <w:p w:rsidR="00170759" w:rsidRDefault="00170759" w:rsidP="00965FBE">
      <w:pPr>
        <w:pStyle w:val="Default"/>
        <w:jc w:val="center"/>
        <w:rPr>
          <w:b/>
          <w:bCs/>
          <w:sz w:val="28"/>
          <w:szCs w:val="28"/>
        </w:rPr>
      </w:pPr>
    </w:p>
    <w:p w:rsidR="00965FBE" w:rsidRDefault="00965FBE" w:rsidP="00965FBE">
      <w:pPr>
        <w:pStyle w:val="Default"/>
        <w:jc w:val="center"/>
        <w:rPr>
          <w:sz w:val="28"/>
          <w:szCs w:val="28"/>
        </w:rPr>
      </w:pPr>
    </w:p>
    <w:p w:rsidR="006112C2" w:rsidRDefault="006112C2" w:rsidP="00965FBE">
      <w:pPr>
        <w:pStyle w:val="TextosemFormatao"/>
        <w:rPr>
          <w:rFonts w:ascii="Arial" w:hAnsi="Arial" w:cs="Arial"/>
          <w:b/>
          <w:szCs w:val="22"/>
        </w:rPr>
        <w:sectPr w:rsidR="006112C2" w:rsidSect="0051502D">
          <w:headerReference w:type="default" r:id="rId8"/>
          <w:pgSz w:w="11906" w:h="17338"/>
          <w:pgMar w:top="1855" w:right="1355" w:bottom="1417" w:left="1533" w:header="720" w:footer="720" w:gutter="0"/>
          <w:cols w:space="720"/>
          <w:noEndnote/>
        </w:sectPr>
      </w:pPr>
    </w:p>
    <w:p w:rsidR="00170759" w:rsidRPr="00170759" w:rsidRDefault="00170759" w:rsidP="00170759">
      <w:pPr>
        <w:pStyle w:val="TextosemFormatao"/>
        <w:jc w:val="both"/>
        <w:rPr>
          <w:rFonts w:cs="Calibri"/>
          <w:color w:val="000000"/>
          <w:szCs w:val="22"/>
        </w:rPr>
      </w:pPr>
      <w:r w:rsidRPr="00170759">
        <w:rPr>
          <w:rFonts w:asciiTheme="minorHAnsi" w:hAnsiTheme="minorHAnsi" w:cs="Arial"/>
          <w:b/>
          <w:szCs w:val="22"/>
        </w:rPr>
        <w:t>Alexandre Gomide</w:t>
      </w:r>
      <w:r w:rsidRPr="00170759">
        <w:rPr>
          <w:rFonts w:ascii="Arial" w:hAnsi="Arial" w:cs="Arial"/>
          <w:b/>
          <w:szCs w:val="22"/>
        </w:rPr>
        <w:t xml:space="preserve"> </w:t>
      </w:r>
      <w:r w:rsidRPr="00170759">
        <w:rPr>
          <w:rFonts w:cs="Calibri"/>
          <w:color w:val="000000"/>
          <w:szCs w:val="22"/>
        </w:rPr>
        <w:t xml:space="preserve">- Doutor em Administração Pública e Governo pela FGV-SP com sanduíche na </w:t>
      </w:r>
      <w:proofErr w:type="spellStart"/>
      <w:r w:rsidRPr="00170759">
        <w:rPr>
          <w:rFonts w:cs="Calibri"/>
          <w:color w:val="000000"/>
          <w:szCs w:val="22"/>
        </w:rPr>
        <w:t>University</w:t>
      </w:r>
      <w:proofErr w:type="spellEnd"/>
      <w:r w:rsidRPr="00170759">
        <w:rPr>
          <w:rFonts w:cs="Calibri"/>
          <w:color w:val="000000"/>
          <w:szCs w:val="22"/>
        </w:rPr>
        <w:t xml:space="preserve"> </w:t>
      </w:r>
      <w:proofErr w:type="spellStart"/>
      <w:r w:rsidRPr="00170759">
        <w:rPr>
          <w:rFonts w:cs="Calibri"/>
          <w:color w:val="000000"/>
          <w:szCs w:val="22"/>
        </w:rPr>
        <w:t>of</w:t>
      </w:r>
      <w:proofErr w:type="spellEnd"/>
      <w:r w:rsidRPr="00170759">
        <w:rPr>
          <w:rFonts w:cs="Calibri"/>
          <w:color w:val="000000"/>
          <w:szCs w:val="22"/>
        </w:rPr>
        <w:t xml:space="preserve"> Califórnia </w:t>
      </w:r>
      <w:proofErr w:type="spellStart"/>
      <w:r w:rsidRPr="00170759">
        <w:rPr>
          <w:rFonts w:cs="Calibri"/>
          <w:color w:val="000000"/>
          <w:szCs w:val="22"/>
        </w:rPr>
        <w:t>at</w:t>
      </w:r>
      <w:proofErr w:type="spellEnd"/>
      <w:r w:rsidRPr="00170759">
        <w:rPr>
          <w:rFonts w:cs="Calibri"/>
          <w:color w:val="000000"/>
          <w:szCs w:val="22"/>
        </w:rPr>
        <w:t xml:space="preserve"> Berkeley. Foi diretor de Regulação e Gestão do Ministério das Cidades e diretor de Programas de Mobilidade Urbana do PAC no Ministério do Planejamento. É pesquisador do IPEA, onde ocupou foi Diretor de Estudos e Políticas do Estado, Instituições e Democracia (DIEST).</w:t>
      </w:r>
    </w:p>
    <w:p w:rsidR="00965FBE" w:rsidRDefault="00965FBE" w:rsidP="00965FBE">
      <w:pPr>
        <w:pStyle w:val="TextosemFormatao"/>
      </w:pPr>
    </w:p>
    <w:p w:rsidR="00170759" w:rsidRPr="00170759" w:rsidRDefault="00170759" w:rsidP="00170759">
      <w:pPr>
        <w:pStyle w:val="TextosemFormatao"/>
        <w:jc w:val="both"/>
        <w:rPr>
          <w:rFonts w:asciiTheme="minorHAnsi" w:hAnsiTheme="minorHAnsi" w:cs="Arial"/>
          <w:b/>
          <w:szCs w:val="22"/>
        </w:rPr>
      </w:pPr>
      <w:r w:rsidRPr="00170759">
        <w:rPr>
          <w:rFonts w:asciiTheme="minorHAnsi" w:hAnsiTheme="minorHAnsi" w:cs="Arial"/>
          <w:b/>
          <w:szCs w:val="22"/>
        </w:rPr>
        <w:t xml:space="preserve">André Barcaui </w:t>
      </w:r>
      <w:r w:rsidRPr="00170759">
        <w:rPr>
          <w:rFonts w:cs="Calibri"/>
          <w:color w:val="000000"/>
          <w:szCs w:val="22"/>
        </w:rPr>
        <w:t xml:space="preserve">– Pós-Doutor em Administração pela Universidade de São Paulo (USP). Trabalhou como gestor de projetos na Hewlett-Packard Consulting. É professor da Universidade Federal do Rio de Janeiro (UFRJ). Possui certificação em Project Management Professional (PMP) e </w:t>
      </w:r>
      <w:proofErr w:type="spellStart"/>
      <w:r w:rsidRPr="00170759">
        <w:rPr>
          <w:rFonts w:cs="Calibri"/>
          <w:color w:val="000000"/>
          <w:szCs w:val="22"/>
        </w:rPr>
        <w:t>Agile</w:t>
      </w:r>
      <w:proofErr w:type="spellEnd"/>
      <w:r w:rsidRPr="00170759">
        <w:rPr>
          <w:rFonts w:cs="Calibri"/>
          <w:color w:val="000000"/>
          <w:szCs w:val="22"/>
        </w:rPr>
        <w:t xml:space="preserve"> </w:t>
      </w:r>
      <w:proofErr w:type="spellStart"/>
      <w:r w:rsidRPr="00170759">
        <w:rPr>
          <w:rFonts w:cs="Calibri"/>
          <w:color w:val="000000"/>
          <w:szCs w:val="22"/>
        </w:rPr>
        <w:t>Certified</w:t>
      </w:r>
      <w:proofErr w:type="spellEnd"/>
      <w:r w:rsidRPr="00170759">
        <w:rPr>
          <w:rFonts w:cs="Calibri"/>
          <w:color w:val="000000"/>
          <w:szCs w:val="22"/>
        </w:rPr>
        <w:t xml:space="preserve"> </w:t>
      </w:r>
      <w:proofErr w:type="spellStart"/>
      <w:r w:rsidRPr="00170759">
        <w:rPr>
          <w:rFonts w:cs="Calibri"/>
          <w:color w:val="000000"/>
          <w:szCs w:val="22"/>
        </w:rPr>
        <w:t>Practitioner</w:t>
      </w:r>
      <w:proofErr w:type="spellEnd"/>
      <w:r w:rsidRPr="00170759">
        <w:rPr>
          <w:rFonts w:cs="Calibri"/>
          <w:color w:val="000000"/>
          <w:szCs w:val="22"/>
        </w:rPr>
        <w:t xml:space="preserve"> (PMI-ACP). É coordenador do MBA em Gerenciamento de Projetos da FGV.</w:t>
      </w:r>
    </w:p>
    <w:p w:rsidR="00170759" w:rsidRDefault="00170759" w:rsidP="00170759">
      <w:pPr>
        <w:pStyle w:val="TextosemFormatao"/>
        <w:rPr>
          <w:rFonts w:cs="Calibri"/>
          <w:color w:val="000000"/>
          <w:szCs w:val="22"/>
        </w:rPr>
      </w:pPr>
    </w:p>
    <w:p w:rsidR="00170759" w:rsidRDefault="00170759" w:rsidP="00170759">
      <w:pPr>
        <w:pStyle w:val="TextosemFormatao"/>
        <w:rPr>
          <w:rFonts w:eastAsia="Times New Roman" w:cs="Calibri"/>
          <w:color w:val="000000"/>
        </w:rPr>
      </w:pPr>
      <w:r w:rsidRPr="00170759">
        <w:rPr>
          <w:rFonts w:asciiTheme="minorHAnsi" w:hAnsiTheme="minorHAnsi" w:cs="Arial"/>
          <w:b/>
        </w:rPr>
        <w:t xml:space="preserve">Cristiano </w:t>
      </w:r>
      <w:proofErr w:type="spellStart"/>
      <w:r w:rsidRPr="00170759">
        <w:rPr>
          <w:rFonts w:asciiTheme="minorHAnsi" w:hAnsiTheme="minorHAnsi" w:cs="Arial"/>
          <w:b/>
        </w:rPr>
        <w:t>Heckert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- </w:t>
      </w:r>
      <w:r w:rsidRPr="00170759">
        <w:rPr>
          <w:rFonts w:cs="Calibri"/>
          <w:color w:val="000000"/>
        </w:rPr>
        <w:t>Doutor em Engenharia de Produção pela Escola Politécnica da Universidade de São Paulo (USP). Foi Secretário de Logística e Tecnologia da Informação do Ministério do Planejamento e Secretário de Modernização e gestão Estratégica do Ministério Público Federal. Atualmente é Secretário de Gestão do Governo Federal.</w:t>
      </w:r>
    </w:p>
    <w:p w:rsidR="00965FBE" w:rsidRDefault="00965FBE" w:rsidP="00965FBE">
      <w:pPr>
        <w:pStyle w:val="TextosemFormatao"/>
        <w:rPr>
          <w:rFonts w:cs="Calibri"/>
          <w:color w:val="000000"/>
          <w:szCs w:val="22"/>
        </w:rPr>
      </w:pPr>
    </w:p>
    <w:p w:rsidR="006112C2" w:rsidRPr="00965FBE" w:rsidRDefault="006112C2" w:rsidP="00965FBE">
      <w:pPr>
        <w:pStyle w:val="TextosemFormatao"/>
        <w:rPr>
          <w:rFonts w:cs="Calibri"/>
          <w:color w:val="000000"/>
          <w:szCs w:val="22"/>
        </w:rPr>
      </w:pPr>
      <w:bookmarkStart w:id="0" w:name="_GoBack"/>
      <w:bookmarkEnd w:id="0"/>
    </w:p>
    <w:p w:rsidR="00170759" w:rsidRPr="00170759" w:rsidRDefault="00170759" w:rsidP="00170759">
      <w:pPr>
        <w:pStyle w:val="TextosemFormatao"/>
        <w:jc w:val="both"/>
        <w:rPr>
          <w:rFonts w:asciiTheme="minorHAnsi" w:hAnsiTheme="minorHAnsi" w:cs="Arial"/>
          <w:b/>
        </w:rPr>
      </w:pPr>
      <w:r w:rsidRPr="00170759">
        <w:rPr>
          <w:rFonts w:asciiTheme="minorHAnsi" w:hAnsiTheme="minorHAnsi" w:cs="Arial"/>
          <w:b/>
        </w:rPr>
        <w:t xml:space="preserve">Fernando Luiz </w:t>
      </w:r>
      <w:proofErr w:type="spellStart"/>
      <w:r w:rsidRPr="00170759">
        <w:rPr>
          <w:rFonts w:asciiTheme="minorHAnsi" w:hAnsiTheme="minorHAnsi" w:cs="Arial"/>
          <w:b/>
        </w:rPr>
        <w:t>Abrucio</w:t>
      </w:r>
      <w:proofErr w:type="spellEnd"/>
      <w:r w:rsidRPr="00170759">
        <w:rPr>
          <w:rFonts w:asciiTheme="minorHAnsi" w:hAnsiTheme="minorHAnsi" w:cs="Arial"/>
          <w:b/>
        </w:rPr>
        <w:t xml:space="preserve"> – </w:t>
      </w:r>
      <w:r w:rsidRPr="00170759">
        <w:rPr>
          <w:rFonts w:asciiTheme="minorHAnsi" w:hAnsiTheme="minorHAnsi" w:cs="Arial"/>
        </w:rPr>
        <w:t xml:space="preserve">Doutor em Ciência Política pela Universidade de São Paulo (USP). Professor e pesquisador da Escola de Economia de São Paulo (EAESP/FGV). É consultor do Banco Mundial, Banco </w:t>
      </w:r>
      <w:proofErr w:type="spellStart"/>
      <w:r w:rsidRPr="00170759">
        <w:rPr>
          <w:rFonts w:asciiTheme="minorHAnsi" w:hAnsiTheme="minorHAnsi" w:cs="Arial"/>
        </w:rPr>
        <w:t>Interamenricano</w:t>
      </w:r>
      <w:proofErr w:type="spellEnd"/>
      <w:r w:rsidRPr="00170759">
        <w:rPr>
          <w:rFonts w:asciiTheme="minorHAnsi" w:hAnsiTheme="minorHAnsi" w:cs="Arial"/>
        </w:rPr>
        <w:t xml:space="preserve"> de Desenvolvimento (BID), Worlds </w:t>
      </w:r>
      <w:proofErr w:type="spellStart"/>
      <w:r w:rsidRPr="00170759">
        <w:rPr>
          <w:rFonts w:asciiTheme="minorHAnsi" w:hAnsiTheme="minorHAnsi" w:cs="Arial"/>
        </w:rPr>
        <w:t>Wildlife</w:t>
      </w:r>
      <w:proofErr w:type="spellEnd"/>
      <w:r w:rsidRPr="00170759">
        <w:rPr>
          <w:rFonts w:asciiTheme="minorHAnsi" w:hAnsiTheme="minorHAnsi" w:cs="Arial"/>
        </w:rPr>
        <w:t xml:space="preserve"> </w:t>
      </w:r>
      <w:proofErr w:type="spellStart"/>
      <w:r w:rsidRPr="00170759">
        <w:rPr>
          <w:rFonts w:asciiTheme="minorHAnsi" w:hAnsiTheme="minorHAnsi" w:cs="Arial"/>
        </w:rPr>
        <w:t>Fund</w:t>
      </w:r>
      <w:proofErr w:type="spellEnd"/>
      <w:r w:rsidRPr="00170759">
        <w:rPr>
          <w:rFonts w:asciiTheme="minorHAnsi" w:hAnsiTheme="minorHAnsi" w:cs="Arial"/>
        </w:rPr>
        <w:t xml:space="preserve"> (WWF) e do Instituto Unibanco. Atualmente é diretor do Departamento de Gestão Pública da EAESP/FGV.</w:t>
      </w:r>
    </w:p>
    <w:p w:rsidR="00965FBE" w:rsidRPr="00965FBE" w:rsidRDefault="00965FBE" w:rsidP="00965FBE">
      <w:pPr>
        <w:pStyle w:val="TextosemFormatao"/>
        <w:rPr>
          <w:rFonts w:cs="Calibri"/>
          <w:color w:val="000000"/>
          <w:szCs w:val="22"/>
        </w:rPr>
      </w:pPr>
    </w:p>
    <w:p w:rsidR="00170759" w:rsidRDefault="00170759" w:rsidP="001707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t xml:space="preserve">Francisco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</w:rPr>
        <w:t>Gaetani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– </w:t>
      </w:r>
      <w:r w:rsidRPr="00170759">
        <w:rPr>
          <w:rFonts w:cs="Arial"/>
          <w:szCs w:val="21"/>
        </w:rPr>
        <w:t xml:space="preserve">Doutor em Administração Pública pela London </w:t>
      </w:r>
      <w:proofErr w:type="spellStart"/>
      <w:r w:rsidRPr="00170759">
        <w:rPr>
          <w:rFonts w:cs="Arial"/>
          <w:szCs w:val="21"/>
        </w:rPr>
        <w:t>School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of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Economics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and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170759">
        <w:rPr>
          <w:rFonts w:cs="Arial"/>
          <w:szCs w:val="21"/>
        </w:rPr>
        <w:t>Political</w:t>
      </w:r>
      <w:proofErr w:type="spellEnd"/>
      <w:r w:rsidRPr="00170759">
        <w:rPr>
          <w:rFonts w:cs="Arial"/>
          <w:szCs w:val="21"/>
        </w:rPr>
        <w:t xml:space="preserve"> Science (LSE). Foi Secretário-Executivo </w:t>
      </w:r>
      <w:r w:rsidRPr="00170759">
        <w:rPr>
          <w:rFonts w:cs="Arial"/>
          <w:szCs w:val="21"/>
        </w:rPr>
        <w:t>do Ministério do Planejamento e do Ministério do Meio Ambiente. Foi Presidente da ENAP e Diretor da Escola de Governo de Minas Gerais / Fundação João Pinheiro. Atualmente é professor do Mestrado em Administração Pública da Escola Brasileira de Administração Pública e Empresarial – EBAPE/FGV.</w:t>
      </w:r>
    </w:p>
    <w:p w:rsidR="00170759" w:rsidRDefault="00170759" w:rsidP="001707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t xml:space="preserve">Ian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</w:rPr>
        <w:t>Guerriero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- </w:t>
      </w:r>
      <w:r w:rsidRPr="00170759">
        <w:rPr>
          <w:rFonts w:cs="Arial"/>
          <w:szCs w:val="21"/>
        </w:rPr>
        <w:t>Doutor em Economia pelo Instituto de Economia da UFRJ. Foi Diretor de Infraestrutura Logística do Ministério do Planejamento. É docente do Programa de Mestrado da Escola Nacional de Administração Pública da ENAP. Economista do Banco Nacional de Desenvolvimento Econômico e Social (BNDES) onde ocupa o cargo de Gerente da área de Governo e Relações Institucionais.</w:t>
      </w:r>
      <w:r>
        <w:rPr>
          <w:rFonts w:asciiTheme="majorHAnsi" w:eastAsia="Times New Roman" w:hAnsiTheme="majorHAnsi" w:cstheme="majorHAnsi"/>
          <w:color w:val="000000"/>
        </w:rPr>
        <w:t xml:space="preserve">               </w:t>
      </w:r>
    </w:p>
    <w:p w:rsidR="00170759" w:rsidRDefault="00170759" w:rsidP="00170759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t>Jorge Carneiro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– </w:t>
      </w:r>
      <w:r w:rsidRPr="00170759">
        <w:rPr>
          <w:rFonts w:cs="Arial"/>
          <w:szCs w:val="21"/>
        </w:rPr>
        <w:t xml:space="preserve">Doutor em Administração de Empresas pela COPPEAD/UFRJ. Professor Associado de Estratégia de Estratégia e Negócios Internacionais da FGV EAESP. Coordenador Acadêmico do </w:t>
      </w:r>
      <w:proofErr w:type="spellStart"/>
      <w:r w:rsidRPr="00170759">
        <w:rPr>
          <w:rFonts w:cs="Arial"/>
          <w:szCs w:val="21"/>
        </w:rPr>
        <w:t>OneMBA</w:t>
      </w:r>
      <w:proofErr w:type="spellEnd"/>
      <w:r w:rsidRPr="00170759">
        <w:rPr>
          <w:rFonts w:cs="Arial"/>
          <w:szCs w:val="21"/>
        </w:rPr>
        <w:t xml:space="preserve"> Global </w:t>
      </w:r>
      <w:proofErr w:type="spellStart"/>
      <w:r w:rsidRPr="00170759">
        <w:rPr>
          <w:rFonts w:cs="Arial"/>
          <w:szCs w:val="21"/>
        </w:rPr>
        <w:t>Executive</w:t>
      </w:r>
      <w:proofErr w:type="spellEnd"/>
      <w:r w:rsidRPr="00170759">
        <w:rPr>
          <w:rFonts w:cs="Arial"/>
          <w:szCs w:val="21"/>
        </w:rPr>
        <w:t xml:space="preserve"> da EAESP-FGV.</w:t>
      </w:r>
      <w:r>
        <w:rPr>
          <w:rFonts w:asciiTheme="majorHAnsi" w:eastAsia="Times New Roman" w:hAnsiTheme="majorHAnsi" w:cstheme="majorHAnsi"/>
          <w:color w:val="000000"/>
        </w:rPr>
        <w:t xml:space="preserve">            </w:t>
      </w:r>
    </w:p>
    <w:p w:rsidR="00170759" w:rsidRDefault="00170759" w:rsidP="00170759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t>Luis Otávio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</w:rPr>
        <w:t>Barosso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- </w:t>
      </w:r>
      <w:r w:rsidRPr="00170759">
        <w:rPr>
          <w:rFonts w:cs="Arial"/>
          <w:szCs w:val="21"/>
        </w:rPr>
        <w:t xml:space="preserve">Mestre em Direito (LLM) pela </w:t>
      </w:r>
      <w:proofErr w:type="spellStart"/>
      <w:r w:rsidRPr="00170759">
        <w:rPr>
          <w:rFonts w:cs="Arial"/>
          <w:szCs w:val="21"/>
        </w:rPr>
        <w:t>University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College</w:t>
      </w:r>
      <w:proofErr w:type="spellEnd"/>
      <w:r w:rsidRPr="00170759">
        <w:rPr>
          <w:rFonts w:cs="Arial"/>
          <w:szCs w:val="21"/>
        </w:rPr>
        <w:t xml:space="preserve"> London. Foi Auditor Fiscal da Receita Federal. Autor do livro Processo Legislativo Orçamentário Federal. Consultor Legislativo do Senado Federal na área de Orçamento Público.</w:t>
      </w:r>
    </w:p>
    <w:p w:rsidR="00170759" w:rsidRDefault="00170759" w:rsidP="00170759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t>Mauro Santos</w:t>
      </w:r>
      <w:r>
        <w:rPr>
          <w:rFonts w:asciiTheme="majorHAnsi" w:eastAsia="Times New Roman" w:hAnsiTheme="majorHAnsi" w:cstheme="majorHAnsi"/>
          <w:color w:val="000000"/>
        </w:rPr>
        <w:t xml:space="preserve"> - </w:t>
      </w:r>
      <w:r w:rsidRPr="00170759">
        <w:rPr>
          <w:rFonts w:cs="Arial"/>
          <w:szCs w:val="21"/>
        </w:rPr>
        <w:t>Doutor em Economia pelo Instituto de economia da UFRJ. Atuo na Secretaria de Política Econômica do Ministério da Fazenda e na Secretaria de Planejamento do Investimento do Ministério do Planejamento. É docente do Programa de Mestrado da Escola Nacional de Administração Pública da ENAP. Atualmente trabalha no Instituto de Pesquisas Econômicas Aplicadas (IPEA) com temas relacionadas a empresas estatais e a concessões e parcerias público-privadas.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</w:p>
    <w:p w:rsidR="00170759" w:rsidRDefault="00170759" w:rsidP="0017075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lastRenderedPageBreak/>
        <w:t>Pedro Cavalcante</w:t>
      </w:r>
      <w:r>
        <w:rPr>
          <w:rFonts w:asciiTheme="majorHAnsi" w:eastAsia="Times New Roman" w:hAnsiTheme="majorHAnsi" w:cstheme="majorHAnsi"/>
          <w:color w:val="000000"/>
        </w:rPr>
        <w:t xml:space="preserve"> -  </w:t>
      </w:r>
      <w:r w:rsidRPr="00170759">
        <w:rPr>
          <w:rFonts w:cs="Arial"/>
          <w:szCs w:val="21"/>
        </w:rPr>
        <w:t xml:space="preserve">Doutor em Ciência política pela UNB. Pós-Doutor pela </w:t>
      </w:r>
      <w:proofErr w:type="spellStart"/>
      <w:r w:rsidRPr="00170759">
        <w:rPr>
          <w:rFonts w:cs="Arial"/>
          <w:szCs w:val="21"/>
        </w:rPr>
        <w:t>School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of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International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and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Public</w:t>
      </w:r>
      <w:proofErr w:type="spellEnd"/>
      <w:r w:rsidRPr="00170759">
        <w:rPr>
          <w:rFonts w:cs="Arial"/>
          <w:szCs w:val="21"/>
        </w:rPr>
        <w:t xml:space="preserve"> </w:t>
      </w:r>
      <w:proofErr w:type="spellStart"/>
      <w:r w:rsidRPr="00170759">
        <w:rPr>
          <w:rFonts w:cs="Arial"/>
          <w:szCs w:val="21"/>
        </w:rPr>
        <w:t>Affairs</w:t>
      </w:r>
      <w:proofErr w:type="spellEnd"/>
      <w:r w:rsidRPr="00170759">
        <w:rPr>
          <w:rFonts w:cs="Arial"/>
          <w:szCs w:val="21"/>
        </w:rPr>
        <w:t xml:space="preserve"> (SIPA) </w:t>
      </w:r>
      <w:proofErr w:type="spellStart"/>
      <w:r w:rsidRPr="00170759">
        <w:rPr>
          <w:rFonts w:cs="Arial"/>
          <w:szCs w:val="21"/>
        </w:rPr>
        <w:t>of</w:t>
      </w:r>
      <w:proofErr w:type="spellEnd"/>
      <w:r w:rsidRPr="00170759">
        <w:rPr>
          <w:rFonts w:cs="Arial"/>
          <w:szCs w:val="21"/>
        </w:rPr>
        <w:t xml:space="preserve"> Columbia </w:t>
      </w:r>
      <w:proofErr w:type="spellStart"/>
      <w:r w:rsidRPr="00170759">
        <w:rPr>
          <w:rFonts w:cs="Arial"/>
          <w:szCs w:val="21"/>
        </w:rPr>
        <w:t>University</w:t>
      </w:r>
      <w:proofErr w:type="spellEnd"/>
      <w:r w:rsidRPr="00170759">
        <w:rPr>
          <w:rFonts w:cs="Arial"/>
          <w:szCs w:val="21"/>
        </w:rPr>
        <w:t xml:space="preserve">. Coordenador do GT Inovação na Gestão Pública da Sociedade Brasileira de Administração Pública (SBAB). Trabalha no IPEA onde coordena pesquisas nas áreas de governança e capacidades estatais e </w:t>
      </w:r>
      <w:proofErr w:type="gramStart"/>
      <w:r w:rsidRPr="00170759">
        <w:rPr>
          <w:rFonts w:cs="Arial"/>
          <w:szCs w:val="21"/>
        </w:rPr>
        <w:t>de</w:t>
      </w:r>
      <w:proofErr w:type="gramEnd"/>
      <w:r w:rsidRPr="00170759">
        <w:rPr>
          <w:rFonts w:cs="Arial"/>
          <w:szCs w:val="21"/>
        </w:rPr>
        <w:t xml:space="preserve"> inovação em políticas públicas.</w:t>
      </w:r>
    </w:p>
    <w:p w:rsidR="00965FBE" w:rsidRPr="00965FBE" w:rsidRDefault="00965FBE" w:rsidP="00170759">
      <w:pPr>
        <w:pStyle w:val="TextosemFormatao"/>
        <w:rPr>
          <w:rFonts w:cs="Calibri"/>
          <w:color w:val="000000"/>
        </w:rPr>
      </w:pPr>
    </w:p>
    <w:sectPr w:rsidR="00965FBE" w:rsidRPr="00965FBE" w:rsidSect="00170759">
      <w:type w:val="continuous"/>
      <w:pgSz w:w="11906" w:h="17338"/>
      <w:pgMar w:top="1855" w:right="1355" w:bottom="1417" w:left="1533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11" w:rsidRDefault="00B62011" w:rsidP="00965FBE">
      <w:pPr>
        <w:spacing w:after="0" w:line="240" w:lineRule="auto"/>
      </w:pPr>
      <w:r>
        <w:separator/>
      </w:r>
    </w:p>
  </w:endnote>
  <w:endnote w:type="continuationSeparator" w:id="0">
    <w:p w:rsidR="00B62011" w:rsidRDefault="00B62011" w:rsidP="009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11" w:rsidRDefault="00B62011" w:rsidP="00965FBE">
      <w:pPr>
        <w:spacing w:after="0" w:line="240" w:lineRule="auto"/>
      </w:pPr>
      <w:r>
        <w:separator/>
      </w:r>
    </w:p>
  </w:footnote>
  <w:footnote w:type="continuationSeparator" w:id="0">
    <w:p w:rsidR="00B62011" w:rsidRDefault="00B62011" w:rsidP="0096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BE" w:rsidRDefault="00965FBE" w:rsidP="00965FBE">
    <w:pPr>
      <w:pStyle w:val="Cabealho"/>
      <w:jc w:val="right"/>
    </w:pPr>
    <w:r>
      <w:rPr>
        <w:rFonts w:ascii="Roboto" w:hAnsi="Roboto"/>
        <w:noProof/>
        <w:color w:val="2962FF"/>
        <w:lang w:eastAsia="pt-BR"/>
      </w:rPr>
      <w:drawing>
        <wp:inline distT="0" distB="0" distL="0" distR="0" wp14:anchorId="5C3E73E1" wp14:editId="177D51A7">
          <wp:extent cx="1907073" cy="581025"/>
          <wp:effectExtent l="0" t="0" r="0" b="0"/>
          <wp:docPr id="2" name="Imagem 2" descr="Resultado de imagem para logo fgv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fgv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10" cy="59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664"/>
    <w:multiLevelType w:val="multilevel"/>
    <w:tmpl w:val="A41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76595"/>
    <w:multiLevelType w:val="multilevel"/>
    <w:tmpl w:val="C25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E7C57"/>
    <w:multiLevelType w:val="multilevel"/>
    <w:tmpl w:val="B2E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A5C5C"/>
    <w:multiLevelType w:val="multilevel"/>
    <w:tmpl w:val="07C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A5713"/>
    <w:multiLevelType w:val="multilevel"/>
    <w:tmpl w:val="8CC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807DE"/>
    <w:multiLevelType w:val="multilevel"/>
    <w:tmpl w:val="0D3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E3060"/>
    <w:multiLevelType w:val="multilevel"/>
    <w:tmpl w:val="1672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5041A"/>
    <w:multiLevelType w:val="multilevel"/>
    <w:tmpl w:val="0B8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D1637"/>
    <w:multiLevelType w:val="multilevel"/>
    <w:tmpl w:val="04E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711A9"/>
    <w:multiLevelType w:val="multilevel"/>
    <w:tmpl w:val="627C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E"/>
    <w:rsid w:val="000A48FE"/>
    <w:rsid w:val="00170759"/>
    <w:rsid w:val="006112C2"/>
    <w:rsid w:val="008A6EA5"/>
    <w:rsid w:val="008C1A71"/>
    <w:rsid w:val="00965FBE"/>
    <w:rsid w:val="00B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9A3C1"/>
  <w15:chartTrackingRefBased/>
  <w15:docId w15:val="{5F02F2CB-6E3B-4BFB-B799-1E3C0E59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5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FBE"/>
  </w:style>
  <w:style w:type="paragraph" w:styleId="Rodap">
    <w:name w:val="footer"/>
    <w:basedOn w:val="Normal"/>
    <w:link w:val="RodapChar"/>
    <w:uiPriority w:val="99"/>
    <w:unhideWhenUsed/>
    <w:rsid w:val="0096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FBE"/>
  </w:style>
  <w:style w:type="paragraph" w:styleId="TextosemFormatao">
    <w:name w:val="Plain Text"/>
    <w:basedOn w:val="Normal"/>
    <w:link w:val="TextosemFormataoChar"/>
    <w:uiPriority w:val="99"/>
    <w:unhideWhenUsed/>
    <w:rsid w:val="00965FBE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65F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imgres?imgurl=https://luzdosucessoblog.com.br/upload_clientes/92870/userfiles/images/FGV-Logo.png&amp;imgrefurl=https://luzdosucessoblog.com.br/fundacao-getulio-vargas-cursos-gratuitos&amp;tbnid=dkpJGQKF-FnEjM&amp;vet=10CAMQxiAoAGoXChMIwKHU8u_Y5QIVAAAAAB0AAAAAEBA..i&amp;docid=NCelWWLuaxeZhM&amp;w=5000&amp;h=1522&amp;itg=1&amp;q=logo%20fgv&amp;ved=0CAMQxiAoAGoXChMIwKHU8u_Y5QIVAAAAAB0AAAAAEB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DB9A-E563-4FE8-8153-FA2CB6A4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de Morais</dc:creator>
  <cp:keywords/>
  <dc:description/>
  <cp:lastModifiedBy>Thamyris Avelino Aguiar</cp:lastModifiedBy>
  <cp:revision>2</cp:revision>
  <cp:lastPrinted>2019-11-07T20:14:00Z</cp:lastPrinted>
  <dcterms:created xsi:type="dcterms:W3CDTF">2020-01-29T19:52:00Z</dcterms:created>
  <dcterms:modified xsi:type="dcterms:W3CDTF">2020-01-29T19:52:00Z</dcterms:modified>
</cp:coreProperties>
</file>